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1A2C" w14:textId="77777777" w:rsidR="00F80BC5" w:rsidRPr="000344A0" w:rsidRDefault="000A0AB5">
      <w:pPr>
        <w:pStyle w:val="Title"/>
        <w:rPr>
          <w:rFonts w:ascii="Calibri" w:hAnsi="Calibri" w:cs="Calibri"/>
        </w:rPr>
      </w:pPr>
      <w:r w:rsidRPr="000344A0">
        <w:rPr>
          <w:rFonts w:ascii="Calibri" w:hAnsi="Calibri" w:cs="Calibri"/>
        </w:rPr>
        <w:t>Key Stage 4 LTP</w:t>
      </w:r>
    </w:p>
    <w:p w14:paraId="167EB452" w14:textId="77777777" w:rsidR="00F80BC5" w:rsidRPr="000344A0" w:rsidRDefault="00F80BC5">
      <w:pPr>
        <w:pStyle w:val="Body"/>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56"/>
      </w:tblGrid>
      <w:tr w:rsidR="00F80BC5" w:rsidRPr="000344A0" w14:paraId="2CB2F5DD" w14:textId="77777777">
        <w:trPr>
          <w:trHeight w:val="230"/>
        </w:trPr>
        <w:tc>
          <w:tcPr>
            <w:tcW w:w="10756"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15D87952" w14:textId="77777777" w:rsidR="00F80BC5" w:rsidRPr="000344A0" w:rsidRDefault="000A0AB5">
            <w:pPr>
              <w:pStyle w:val="Body"/>
            </w:pPr>
            <w:r w:rsidRPr="000344A0">
              <w:rPr>
                <w:b/>
                <w:bCs/>
                <w:sz w:val="20"/>
                <w:szCs w:val="20"/>
              </w:rPr>
              <w:t>Curriculum Intent</w:t>
            </w:r>
          </w:p>
        </w:tc>
      </w:tr>
      <w:tr w:rsidR="00F80BC5" w:rsidRPr="000344A0" w14:paraId="73FA2606" w14:textId="77777777" w:rsidTr="00AB5602">
        <w:trPr>
          <w:trHeight w:val="8164"/>
        </w:trPr>
        <w:tc>
          <w:tcPr>
            <w:tcW w:w="1075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F4C20A8" w14:textId="77777777" w:rsidR="00F80BC5" w:rsidRPr="000344A0" w:rsidRDefault="000A0AB5">
            <w:pPr>
              <w:pStyle w:val="Body"/>
              <w:rPr>
                <w:sz w:val="20"/>
                <w:szCs w:val="20"/>
              </w:rPr>
            </w:pPr>
            <w:r w:rsidRPr="000344A0">
              <w:rPr>
                <w:sz w:val="20"/>
                <w:szCs w:val="20"/>
              </w:rPr>
              <w:t xml:space="preserve">The following schemes of learning are designed to help develop and reinforce specialist practical skills simultaneously. </w:t>
            </w:r>
          </w:p>
          <w:p w14:paraId="268DD5ED" w14:textId="77777777" w:rsidR="00F80BC5" w:rsidRPr="000344A0" w:rsidRDefault="000A0AB5">
            <w:pPr>
              <w:pStyle w:val="Body"/>
              <w:rPr>
                <w:sz w:val="20"/>
                <w:szCs w:val="20"/>
              </w:rPr>
            </w:pPr>
            <w:r w:rsidRPr="000344A0">
              <w:rPr>
                <w:sz w:val="20"/>
                <w:szCs w:val="20"/>
              </w:rPr>
              <w:t>Courses based on the AQA specification must encourage students to:</w:t>
            </w:r>
          </w:p>
          <w:p w14:paraId="2A54B98B" w14:textId="77777777" w:rsidR="00F80BC5" w:rsidRPr="000344A0" w:rsidRDefault="000A0AB5">
            <w:pPr>
              <w:pStyle w:val="Body"/>
              <w:rPr>
                <w:sz w:val="20"/>
                <w:szCs w:val="20"/>
              </w:rPr>
            </w:pPr>
            <w:r w:rsidRPr="000344A0">
              <w:rPr>
                <w:sz w:val="20"/>
                <w:szCs w:val="20"/>
              </w:rPr>
              <w:t>• demonstrate their understanding that all design and technological activity takes place within contexts that influence the outcomes of design practice</w:t>
            </w:r>
          </w:p>
          <w:p w14:paraId="0F5ED82D" w14:textId="77777777" w:rsidR="00F80BC5" w:rsidRPr="000344A0" w:rsidRDefault="000A0AB5">
            <w:pPr>
              <w:pStyle w:val="Body"/>
              <w:rPr>
                <w:sz w:val="20"/>
                <w:szCs w:val="20"/>
              </w:rPr>
            </w:pPr>
            <w:r w:rsidRPr="000344A0">
              <w:rPr>
                <w:sz w:val="20"/>
                <w:szCs w:val="20"/>
              </w:rPr>
              <w:t>• develop realistic design proposals as a result of the exploration of design opportunities and users’ needs, wants and values</w:t>
            </w:r>
          </w:p>
          <w:p w14:paraId="4497DF2F" w14:textId="77777777" w:rsidR="00F80BC5" w:rsidRPr="000344A0" w:rsidRDefault="000A0AB5">
            <w:pPr>
              <w:pStyle w:val="Body"/>
              <w:rPr>
                <w:sz w:val="20"/>
                <w:szCs w:val="20"/>
              </w:rPr>
            </w:pPr>
            <w:r w:rsidRPr="000344A0">
              <w:rPr>
                <w:sz w:val="20"/>
                <w:szCs w:val="20"/>
              </w:rPr>
              <w:t>• use imagination, experimentation and combine ideas when designing</w:t>
            </w:r>
          </w:p>
          <w:p w14:paraId="1159E7B1" w14:textId="77777777" w:rsidR="00F80BC5" w:rsidRPr="000344A0" w:rsidRDefault="000A0AB5">
            <w:pPr>
              <w:pStyle w:val="Body"/>
              <w:rPr>
                <w:sz w:val="20"/>
                <w:szCs w:val="20"/>
              </w:rPr>
            </w:pPr>
            <w:r w:rsidRPr="000344A0">
              <w:rPr>
                <w:sz w:val="20"/>
                <w:szCs w:val="20"/>
              </w:rPr>
              <w:t>• develop the skills to critique and refine their own ideas whilst designing and making</w:t>
            </w:r>
          </w:p>
          <w:p w14:paraId="411A2E11" w14:textId="77777777" w:rsidR="00F80BC5" w:rsidRPr="000344A0" w:rsidRDefault="000A0AB5">
            <w:pPr>
              <w:pStyle w:val="Body"/>
              <w:rPr>
                <w:sz w:val="20"/>
                <w:szCs w:val="20"/>
              </w:rPr>
            </w:pPr>
            <w:r w:rsidRPr="000344A0">
              <w:rPr>
                <w:sz w:val="20"/>
                <w:szCs w:val="20"/>
              </w:rPr>
              <w:t>• communicate their design ideas and decisions using different media and techniques, as appropriate for different audiences at key points in their designing</w:t>
            </w:r>
          </w:p>
          <w:p w14:paraId="246627EE" w14:textId="2598D18C" w:rsidR="00F80BC5" w:rsidRPr="000344A0" w:rsidRDefault="000A0AB5">
            <w:pPr>
              <w:pStyle w:val="Body"/>
              <w:rPr>
                <w:sz w:val="20"/>
                <w:szCs w:val="20"/>
              </w:rPr>
            </w:pPr>
            <w:r w:rsidRPr="000344A0">
              <w:rPr>
                <w:sz w:val="20"/>
                <w:szCs w:val="20"/>
              </w:rPr>
              <w:t xml:space="preserve">• develop decision making skills, including planning </w:t>
            </w:r>
            <w:r w:rsidR="00AB5602">
              <w:rPr>
                <w:sz w:val="20"/>
                <w:szCs w:val="20"/>
              </w:rPr>
              <w:t>&amp;</w:t>
            </w:r>
            <w:r w:rsidRPr="000344A0">
              <w:rPr>
                <w:sz w:val="20"/>
                <w:szCs w:val="20"/>
              </w:rPr>
              <w:t xml:space="preserve"> </w:t>
            </w:r>
            <w:proofErr w:type="spellStart"/>
            <w:r w:rsidRPr="000344A0">
              <w:rPr>
                <w:sz w:val="20"/>
                <w:szCs w:val="20"/>
              </w:rPr>
              <w:t>organisation</w:t>
            </w:r>
            <w:proofErr w:type="spellEnd"/>
            <w:r w:rsidRPr="000344A0">
              <w:rPr>
                <w:sz w:val="20"/>
                <w:szCs w:val="20"/>
              </w:rPr>
              <w:t xml:space="preserve"> of time </w:t>
            </w:r>
            <w:r w:rsidR="00AB5602">
              <w:rPr>
                <w:sz w:val="20"/>
                <w:szCs w:val="20"/>
              </w:rPr>
              <w:t>&amp;</w:t>
            </w:r>
            <w:r w:rsidRPr="000344A0">
              <w:rPr>
                <w:sz w:val="20"/>
                <w:szCs w:val="20"/>
              </w:rPr>
              <w:t xml:space="preserve"> resources when managing their own project work</w:t>
            </w:r>
          </w:p>
          <w:p w14:paraId="7E16A28F" w14:textId="77777777" w:rsidR="00F80BC5" w:rsidRPr="000344A0" w:rsidRDefault="000A0AB5">
            <w:pPr>
              <w:pStyle w:val="Body"/>
              <w:rPr>
                <w:sz w:val="20"/>
                <w:szCs w:val="20"/>
              </w:rPr>
            </w:pPr>
            <w:r w:rsidRPr="000344A0">
              <w:rPr>
                <w:sz w:val="20"/>
                <w:szCs w:val="20"/>
              </w:rPr>
              <w:t>• develop a broad knowledge of materials, components and technologies and practical skills to develop high quality, imaginative and functional prototypes</w:t>
            </w:r>
          </w:p>
          <w:p w14:paraId="456744A1" w14:textId="77777777" w:rsidR="00F80BC5" w:rsidRPr="000344A0" w:rsidRDefault="000A0AB5">
            <w:pPr>
              <w:pStyle w:val="Body"/>
              <w:rPr>
                <w:sz w:val="20"/>
                <w:szCs w:val="20"/>
              </w:rPr>
            </w:pPr>
            <w:r w:rsidRPr="000344A0">
              <w:rPr>
                <w:sz w:val="20"/>
                <w:szCs w:val="20"/>
              </w:rPr>
              <w:t>• be ambitious and open to explore and take design risks in order to stretch the development of design proposals, avoiding clichéd or stereotypical responses</w:t>
            </w:r>
          </w:p>
          <w:p w14:paraId="25C0B7EC" w14:textId="77777777" w:rsidR="00F80BC5" w:rsidRPr="000344A0" w:rsidRDefault="000A0AB5">
            <w:pPr>
              <w:pStyle w:val="Body"/>
              <w:rPr>
                <w:sz w:val="20"/>
                <w:szCs w:val="20"/>
              </w:rPr>
            </w:pPr>
            <w:r w:rsidRPr="000344A0">
              <w:rPr>
                <w:sz w:val="20"/>
                <w:szCs w:val="20"/>
              </w:rPr>
              <w:t>• consider the costs, commercial viability and marketing of products</w:t>
            </w:r>
          </w:p>
          <w:p w14:paraId="6D5C8DA2" w14:textId="77777777" w:rsidR="00F80BC5" w:rsidRPr="000344A0" w:rsidRDefault="000A0AB5">
            <w:pPr>
              <w:pStyle w:val="Body"/>
              <w:rPr>
                <w:sz w:val="20"/>
                <w:szCs w:val="20"/>
              </w:rPr>
            </w:pPr>
            <w:r w:rsidRPr="000344A0">
              <w:rPr>
                <w:sz w:val="20"/>
                <w:szCs w:val="20"/>
              </w:rPr>
              <w:t>• demonstrate safe working practices in design and technology</w:t>
            </w:r>
          </w:p>
          <w:p w14:paraId="12B262D6" w14:textId="77777777" w:rsidR="00F80BC5" w:rsidRPr="000344A0" w:rsidRDefault="000A0AB5">
            <w:pPr>
              <w:pStyle w:val="Body"/>
              <w:rPr>
                <w:sz w:val="20"/>
                <w:szCs w:val="20"/>
              </w:rPr>
            </w:pPr>
            <w:r w:rsidRPr="000344A0">
              <w:rPr>
                <w:sz w:val="20"/>
                <w:szCs w:val="20"/>
              </w:rPr>
              <w:t>• use key design and technology terminology including those related to: designing, innovation and communication; materials and technologies; making, manufacture and production; critiquing, values and ethics.</w:t>
            </w:r>
          </w:p>
          <w:p w14:paraId="60865D45" w14:textId="77777777" w:rsidR="00F80BC5" w:rsidRPr="000344A0" w:rsidRDefault="000A0AB5">
            <w:pPr>
              <w:pStyle w:val="Body"/>
              <w:rPr>
                <w:sz w:val="20"/>
                <w:szCs w:val="20"/>
              </w:rPr>
            </w:pPr>
            <w:r w:rsidRPr="000344A0">
              <w:rPr>
                <w:sz w:val="20"/>
                <w:szCs w:val="20"/>
              </w:rPr>
              <w:t xml:space="preserve">These objectives are made clear at the start of each project explaining what their final objective will be, this is achieved by breaking down the project to be delivered each lesson through smaller but focused objectives. </w:t>
            </w:r>
          </w:p>
          <w:p w14:paraId="628F1442" w14:textId="77777777" w:rsidR="00AB5602" w:rsidRDefault="00AB5602">
            <w:pPr>
              <w:pStyle w:val="Body"/>
              <w:rPr>
                <w:b/>
                <w:bCs/>
                <w:sz w:val="20"/>
                <w:szCs w:val="20"/>
                <w:u w:val="single"/>
              </w:rPr>
            </w:pPr>
          </w:p>
          <w:p w14:paraId="7D5C705A" w14:textId="1FA344F6" w:rsidR="00F80BC5" w:rsidRPr="000344A0" w:rsidRDefault="000A0AB5">
            <w:pPr>
              <w:pStyle w:val="Body"/>
              <w:rPr>
                <w:sz w:val="20"/>
                <w:szCs w:val="20"/>
              </w:rPr>
            </w:pPr>
            <w:r w:rsidRPr="000344A0">
              <w:rPr>
                <w:sz w:val="20"/>
                <w:szCs w:val="20"/>
                <w:u w:color="FF0000"/>
              </w:rPr>
              <w:t xml:space="preserve">Building on </w:t>
            </w:r>
            <w:proofErr w:type="gramStart"/>
            <w:r w:rsidRPr="000344A0">
              <w:rPr>
                <w:sz w:val="20"/>
                <w:szCs w:val="20"/>
                <w:u w:color="FF0000"/>
              </w:rPr>
              <w:t>pupils</w:t>
            </w:r>
            <w:proofErr w:type="gramEnd"/>
            <w:r w:rsidRPr="000344A0">
              <w:rPr>
                <w:sz w:val="20"/>
                <w:szCs w:val="20"/>
                <w:u w:color="FF0000"/>
              </w:rPr>
              <w:t xml:space="preserve"> prior knowledge and ability e</w:t>
            </w:r>
            <w:r w:rsidRPr="000344A0">
              <w:rPr>
                <w:sz w:val="20"/>
                <w:szCs w:val="20"/>
              </w:rPr>
              <w:t xml:space="preserve">ach project is designed based on a wide variety of design industries which will creatively help embed the exploration of design opportunities, users’ needs, wants and values and use imagination, experimentation when combining ideas when designing. Students will complete project booklets designed to encourage a method of exploration and analysis to help students with interdependence, </w:t>
            </w:r>
            <w:proofErr w:type="gramStart"/>
            <w:r w:rsidRPr="000344A0">
              <w:rPr>
                <w:sz w:val="20"/>
                <w:szCs w:val="20"/>
              </w:rPr>
              <w:t>responsibility</w:t>
            </w:r>
            <w:proofErr w:type="gramEnd"/>
            <w:r w:rsidRPr="000344A0">
              <w:rPr>
                <w:sz w:val="20"/>
                <w:szCs w:val="20"/>
              </w:rPr>
              <w:t xml:space="preserve"> and their learning experience towards their NEA.</w:t>
            </w:r>
          </w:p>
          <w:p w14:paraId="5E4F3091" w14:textId="77777777" w:rsidR="00F80BC5" w:rsidRPr="000344A0" w:rsidRDefault="000A0AB5">
            <w:pPr>
              <w:pStyle w:val="Body"/>
            </w:pPr>
            <w:r w:rsidRPr="000344A0">
              <w:rPr>
                <w:sz w:val="20"/>
                <w:szCs w:val="20"/>
              </w:rPr>
              <w:t xml:space="preserve">Spiritual development is very important in Product Design as the process of creative thinking and problem solving lies at the </w:t>
            </w:r>
            <w:proofErr w:type="spellStart"/>
            <w:r w:rsidRPr="000344A0">
              <w:rPr>
                <w:sz w:val="20"/>
                <w:szCs w:val="20"/>
              </w:rPr>
              <w:t>centre</w:t>
            </w:r>
            <w:proofErr w:type="spellEnd"/>
            <w:r w:rsidRPr="000344A0">
              <w:rPr>
                <w:sz w:val="20"/>
                <w:szCs w:val="20"/>
              </w:rPr>
              <w:t xml:space="preserve"> of the subject. A pupil's ability to think creatively and show innovation can be inspirational to others but also increase their own self confidence and belief in their own abilities. </w:t>
            </w:r>
          </w:p>
          <w:p w14:paraId="6F38E01A" w14:textId="71AE82AC" w:rsidR="00F80BC5" w:rsidRPr="000344A0" w:rsidRDefault="000A0AB5">
            <w:pPr>
              <w:pStyle w:val="Body"/>
            </w:pPr>
            <w:r w:rsidRPr="000344A0">
              <w:rPr>
                <w:sz w:val="20"/>
                <w:szCs w:val="20"/>
              </w:rPr>
              <w:t xml:space="preserve">British values and PSHE is generally taught and explored within each designed project, as it is one of the fundamental areas within the design industry focusing taking the views and opinions of others into account but still have the right to making their own choices, to understand that many great design ideas originate from other </w:t>
            </w:r>
            <w:r w:rsidRPr="000344A0">
              <w:rPr>
                <w:sz w:val="20"/>
                <w:szCs w:val="20"/>
              </w:rPr>
              <w:br/>
            </w:r>
            <w:r w:rsidRPr="000344A0">
              <w:rPr>
                <w:sz w:val="20"/>
                <w:szCs w:val="20"/>
                <w:lang w:val="fr-FR"/>
              </w:rPr>
              <w:t>cultures</w:t>
            </w:r>
            <w:r w:rsidRPr="000344A0">
              <w:rPr>
                <w:sz w:val="20"/>
                <w:szCs w:val="20"/>
              </w:rPr>
              <w:t xml:space="preserve"> and to offer supportive comments in evaluations that will improve learning outcomes in a way that is objective but sensitive to the listener. </w:t>
            </w:r>
          </w:p>
        </w:tc>
      </w:tr>
    </w:tbl>
    <w:p w14:paraId="5E91B9A0" w14:textId="77777777" w:rsidR="00F80BC5" w:rsidRPr="000344A0" w:rsidRDefault="00F80BC5">
      <w:pPr>
        <w:pStyle w:val="Body"/>
        <w:widowControl w:val="0"/>
      </w:pPr>
    </w:p>
    <w:p w14:paraId="178B1C4C" w14:textId="77777777" w:rsidR="00F80BC5" w:rsidRPr="000344A0" w:rsidRDefault="00F80BC5">
      <w:pPr>
        <w:pStyle w:val="Body"/>
        <w:rPr>
          <w:sz w:val="10"/>
          <w:szCs w:val="1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56"/>
      </w:tblGrid>
      <w:tr w:rsidR="00F80BC5" w:rsidRPr="000344A0" w14:paraId="1DDCA99A" w14:textId="77777777">
        <w:trPr>
          <w:trHeight w:val="230"/>
        </w:trPr>
        <w:tc>
          <w:tcPr>
            <w:tcW w:w="10756"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4EC95C09" w14:textId="77777777" w:rsidR="00F80BC5" w:rsidRPr="000344A0" w:rsidRDefault="000A0AB5">
            <w:pPr>
              <w:pStyle w:val="Body"/>
            </w:pPr>
            <w:r w:rsidRPr="000344A0">
              <w:rPr>
                <w:b/>
                <w:bCs/>
                <w:sz w:val="20"/>
                <w:szCs w:val="20"/>
              </w:rPr>
              <w:t>Prior Learning Summary</w:t>
            </w:r>
          </w:p>
        </w:tc>
      </w:tr>
      <w:tr w:rsidR="00F80BC5" w:rsidRPr="000344A0" w14:paraId="099A138A" w14:textId="77777777" w:rsidTr="000F3388">
        <w:trPr>
          <w:trHeight w:val="697"/>
        </w:trPr>
        <w:tc>
          <w:tcPr>
            <w:tcW w:w="1075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56334BD" w14:textId="77777777" w:rsidR="00F80BC5" w:rsidRPr="000344A0" w:rsidRDefault="000A0AB5">
            <w:pPr>
              <w:pStyle w:val="Body"/>
              <w:rPr>
                <w:sz w:val="20"/>
                <w:szCs w:val="20"/>
              </w:rPr>
            </w:pPr>
            <w:r w:rsidRPr="000344A0">
              <w:rPr>
                <w:sz w:val="20"/>
                <w:szCs w:val="20"/>
              </w:rPr>
              <w:t xml:space="preserve">Students in KS3 will have learned Basic skills in technical drawing and design requirements alongside theory </w:t>
            </w:r>
            <w:proofErr w:type="gramStart"/>
            <w:r w:rsidRPr="000344A0">
              <w:rPr>
                <w:sz w:val="20"/>
                <w:szCs w:val="20"/>
              </w:rPr>
              <w:t>and  knowledge</w:t>
            </w:r>
            <w:proofErr w:type="gramEnd"/>
            <w:r w:rsidRPr="000344A0">
              <w:rPr>
                <w:sz w:val="20"/>
                <w:szCs w:val="20"/>
              </w:rPr>
              <w:t xml:space="preserve"> into materials, techniques and processes across the design industry.</w:t>
            </w:r>
          </w:p>
          <w:p w14:paraId="39EB0E8D" w14:textId="77777777" w:rsidR="00F80BC5" w:rsidRPr="000344A0" w:rsidRDefault="000A0AB5">
            <w:pPr>
              <w:pStyle w:val="Body"/>
            </w:pPr>
            <w:r w:rsidRPr="000344A0">
              <w:rPr>
                <w:sz w:val="20"/>
                <w:szCs w:val="20"/>
              </w:rPr>
              <w:t xml:space="preserve">Using these skills students will have completed a project on packaging, branding and functional </w:t>
            </w:r>
            <w:proofErr w:type="spellStart"/>
            <w:r w:rsidRPr="000344A0">
              <w:rPr>
                <w:sz w:val="20"/>
                <w:szCs w:val="20"/>
              </w:rPr>
              <w:t>jewellery</w:t>
            </w:r>
            <w:proofErr w:type="spellEnd"/>
            <w:r w:rsidRPr="000344A0">
              <w:rPr>
                <w:sz w:val="20"/>
                <w:szCs w:val="20"/>
              </w:rPr>
              <w:t>.</w:t>
            </w:r>
          </w:p>
        </w:tc>
      </w:tr>
    </w:tbl>
    <w:p w14:paraId="76EC4037" w14:textId="77777777" w:rsidR="00F80BC5" w:rsidRPr="000344A0" w:rsidRDefault="00F80BC5" w:rsidP="00AB5602">
      <w:pPr>
        <w:pStyle w:val="Body"/>
        <w:widowControl w:val="0"/>
        <w:rPr>
          <w:sz w:val="10"/>
          <w:szCs w:val="10"/>
        </w:rPr>
      </w:pPr>
    </w:p>
    <w:tbl>
      <w:tblPr>
        <w:tblW w:w="108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6"/>
        <w:gridCol w:w="277"/>
        <w:gridCol w:w="277"/>
        <w:gridCol w:w="277"/>
        <w:gridCol w:w="277"/>
        <w:gridCol w:w="277"/>
        <w:gridCol w:w="277"/>
        <w:gridCol w:w="277"/>
        <w:gridCol w:w="283"/>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35"/>
        <w:gridCol w:w="47"/>
      </w:tblGrid>
      <w:tr w:rsidR="00F80BC5" w:rsidRPr="000344A0" w14:paraId="4020F483" w14:textId="77777777" w:rsidTr="00CB525C">
        <w:trPr>
          <w:gridAfter w:val="1"/>
          <w:wAfter w:w="47" w:type="dxa"/>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78BB2FAD" w14:textId="77777777" w:rsidR="00F80BC5" w:rsidRPr="000344A0" w:rsidRDefault="000A0AB5">
            <w:pPr>
              <w:pStyle w:val="Body"/>
            </w:pPr>
            <w:r w:rsidRPr="000344A0">
              <w:rPr>
                <w:b/>
                <w:bCs/>
                <w:sz w:val="20"/>
                <w:szCs w:val="20"/>
              </w:rPr>
              <w:t>Curriculum Structure – Year 9</w:t>
            </w:r>
          </w:p>
        </w:tc>
      </w:tr>
      <w:tr w:rsidR="000F7474" w:rsidRPr="000344A0" w14:paraId="501E29CB" w14:textId="77777777" w:rsidTr="00CB525C">
        <w:trPr>
          <w:trHeight w:val="20"/>
        </w:trPr>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B511863" w14:textId="305D02BE"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1215CCB" w14:textId="2C4363EB"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7F18E84" w14:textId="57DF4ABF"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8F555B2" w14:textId="764F3633"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6E5305B" w14:textId="205EF7A5"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17CF0B8" w14:textId="627E3FB5"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12B9EA2" w14:textId="55957A36"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17173E2" w14:textId="525D04FF" w:rsidR="00B63944" w:rsidRPr="000F7474" w:rsidRDefault="00B63944" w:rsidP="00B63944">
            <w:pPr>
              <w:pStyle w:val="Body"/>
              <w:rPr>
                <w:sz w:val="16"/>
                <w:szCs w:val="16"/>
              </w:rPr>
            </w:pP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8778670" w14:textId="328C7B25"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C6D284A" w14:textId="2E634CF7"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2AF822A" w14:textId="0D8B26FC"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22152A9" w14:textId="751A5065"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36CE939" w14:textId="00B9DB2F" w:rsidR="00B63944" w:rsidRPr="000F7474"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43C02A8" w14:textId="3C46BC7D" w:rsidR="00B63944" w:rsidRPr="00CB525C" w:rsidRDefault="00B63944" w:rsidP="00B63944">
            <w:pPr>
              <w:pStyle w:val="Body"/>
              <w:rPr>
                <w:sz w:val="16"/>
                <w:szCs w:val="16"/>
              </w:rPr>
            </w:pP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D3E9D6E" w14:textId="3A25AB41" w:rsidR="00B63944" w:rsidRPr="000344A0" w:rsidRDefault="00B63944" w:rsidP="00B63944">
            <w:pPr>
              <w:pStyle w:val="Body"/>
            </w:pPr>
            <w:r>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62A59DB" w14:textId="4EF398D6"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1C5F8AE" w14:textId="613883A7"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2E2080D" w14:textId="66269AA2"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45B903A" w14:textId="16A3C81C"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7B8A8B5" w14:textId="5E72495A"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22D04F8" w14:textId="5B6D248F"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245012" w14:textId="49D4F35C"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020A24C" w14:textId="63DDA607"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EFF1CB1" w14:textId="699BBA56"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BFC9F65" w14:textId="70EBD4D4" w:rsidR="00B63944" w:rsidRPr="000344A0" w:rsidRDefault="00B63944" w:rsidP="00B63944">
            <w:pPr>
              <w:pStyle w:val="Body"/>
            </w:pPr>
            <w:r w:rsidRPr="006C2187">
              <w:rPr>
                <w:sz w:val="16"/>
                <w:szCs w:val="16"/>
              </w:rPr>
              <w:t>A</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57BD184" w14:textId="5C158607" w:rsidR="00B63944" w:rsidRPr="000344A0" w:rsidRDefault="00B63944" w:rsidP="00B63944">
            <w:pPr>
              <w:pStyle w:val="Body"/>
            </w:pPr>
            <w:r>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A21771E" w14:textId="5A7661D9"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0E37C4A" w14:textId="0615D9C4"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23D3D1" w14:textId="09189D22"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3819D7E" w14:textId="0A601F67"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E83B6D5" w14:textId="60A91E86"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E09BB81" w14:textId="7CDDD287"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66B3190" w14:textId="5E2A9592"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95911CA" w14:textId="2A39A881"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90C603A" w14:textId="4BAED7EF"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AD475D8" w14:textId="2108F144"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3B9EB6F" w14:textId="311204AD" w:rsidR="00B63944" w:rsidRPr="000344A0" w:rsidRDefault="00B63944" w:rsidP="00B63944">
            <w:pPr>
              <w:pStyle w:val="Body"/>
            </w:pPr>
            <w:r w:rsidRPr="006839C7">
              <w:rPr>
                <w:sz w:val="16"/>
                <w:szCs w:val="16"/>
              </w:rPr>
              <w:t>B</w:t>
            </w:r>
          </w:p>
        </w:tc>
        <w:tc>
          <w:tcPr>
            <w:tcW w:w="277"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E89E6DA" w14:textId="0A163F79" w:rsidR="00B63944" w:rsidRPr="000344A0" w:rsidRDefault="00B63944" w:rsidP="00B63944">
            <w:pPr>
              <w:pStyle w:val="Body"/>
            </w:pPr>
            <w:r w:rsidRPr="006839C7">
              <w:rPr>
                <w:sz w:val="16"/>
                <w:szCs w:val="16"/>
              </w:rPr>
              <w:t>B</w:t>
            </w:r>
          </w:p>
        </w:tc>
        <w:tc>
          <w:tcPr>
            <w:tcW w:w="282" w:type="dxa"/>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B6A17C2" w14:textId="6513E786" w:rsidR="00B63944" w:rsidRPr="000344A0" w:rsidRDefault="00B63944" w:rsidP="00B63944">
            <w:pPr>
              <w:pStyle w:val="Body"/>
            </w:pPr>
            <w:r w:rsidRPr="006839C7">
              <w:rPr>
                <w:sz w:val="16"/>
                <w:szCs w:val="16"/>
              </w:rPr>
              <w:t>B</w:t>
            </w:r>
          </w:p>
        </w:tc>
      </w:tr>
    </w:tbl>
    <w:p w14:paraId="2A515F8D" w14:textId="77777777" w:rsidR="00F80BC5" w:rsidRPr="000344A0" w:rsidRDefault="00F80BC5">
      <w:pPr>
        <w:pStyle w:val="Body"/>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80"/>
      </w:tblGrid>
      <w:tr w:rsidR="00F80BC5" w:rsidRPr="000344A0" w14:paraId="2ED2A772" w14:textId="77777777">
        <w:trPr>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0ECB784C" w14:textId="77777777" w:rsidR="00F80BC5" w:rsidRPr="000344A0" w:rsidRDefault="000A0AB5">
            <w:pPr>
              <w:pStyle w:val="Body"/>
            </w:pPr>
            <w:r w:rsidRPr="000344A0">
              <w:rPr>
                <w:b/>
                <w:bCs/>
                <w:sz w:val="20"/>
                <w:szCs w:val="20"/>
              </w:rPr>
              <w:t>Curriculum Structure – Year 10</w:t>
            </w:r>
          </w:p>
        </w:tc>
      </w:tr>
      <w:tr w:rsidR="000E0D35" w:rsidRPr="000344A0" w14:paraId="65BC5C56" w14:textId="77777777" w:rsidTr="00B63944">
        <w:trPr>
          <w:trHeight w:val="210"/>
        </w:trPr>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26E7DDA" w14:textId="6108B56B" w:rsidR="000E0D35" w:rsidRPr="000344A0" w:rsidRDefault="000E0D35" w:rsidP="000E0D35">
            <w:pPr>
              <w:rPr>
                <w:rFonts w:ascii="Calibri" w:hAnsi="Calibri" w:cs="Calibri"/>
              </w:rPr>
            </w:pPr>
            <w:r>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3DF124D" w14:textId="1E92A670"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FCDE259" w14:textId="75AF95BF"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714A05" w14:textId="56101CC3"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D318BEB" w14:textId="14871E36"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0D171A3" w14:textId="4BA318DF"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E016E0D" w14:textId="0AC360ED"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7E7E1E1" w14:textId="74E93624"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5D169EE" w14:textId="6C0E864D"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DD9863C" w14:textId="1DAFF77C"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CFF7D2B" w14:textId="1E108211"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71BE80" w14:textId="7DD42F00"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6A61336" w14:textId="60478191"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C3BC8DE" w14:textId="3CA1A8C0" w:rsidR="000E0D35" w:rsidRPr="000344A0" w:rsidRDefault="000E0D35" w:rsidP="000E0D35">
            <w:pPr>
              <w:rPr>
                <w:rFonts w:ascii="Calibri" w:hAnsi="Calibri" w:cs="Calibri"/>
              </w:rPr>
            </w:pPr>
            <w:r w:rsidRPr="008479A5">
              <w:rPr>
                <w:rFonts w:ascii="Calibri" w:eastAsia="Calibri" w:hAnsi="Calibri" w:cs="Calibri"/>
                <w:color w:val="000000"/>
                <w:sz w:val="16"/>
                <w:szCs w:val="16"/>
                <w:u w:color="00000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C95ED14" w14:textId="2EA42CCF" w:rsidR="000E0D35" w:rsidRPr="000344A0" w:rsidRDefault="000E0D35" w:rsidP="000E0D35">
            <w:pPr>
              <w:rPr>
                <w:rFonts w:ascii="Calibri" w:hAnsi="Calibri" w:cs="Calibri"/>
              </w:rPr>
            </w:pPr>
            <w:r>
              <w:rPr>
                <w:rFonts w:ascii="Calibri" w:eastAsia="Calibri" w:hAnsi="Calibri" w:cs="Calibri"/>
                <w:color w:val="000000"/>
                <w:sz w:val="16"/>
                <w:szCs w:val="16"/>
                <w:u w:color="000000"/>
              </w:rPr>
              <w:t>D</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EB4D8A1" w14:textId="53310609"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AE77374" w14:textId="0B6BD62B"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C44F03F" w14:textId="0A456410"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BC1892F" w14:textId="168DAB0E"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AB8CA49" w14:textId="04F9B155"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E350FD0" w14:textId="06BCF43D"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4AC685E" w14:textId="04A6831A"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52CB4C5" w14:textId="36F69C88"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F1F9C25" w14:textId="7FEB5940"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AB60239" w14:textId="63E1D3D2"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38002D2" w14:textId="2241DA96"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0F92261" w14:textId="5AB1EEBA" w:rsidR="000E0D35" w:rsidRPr="000344A0" w:rsidRDefault="000E0D35" w:rsidP="000E0D35">
            <w:pPr>
              <w:rPr>
                <w:rFonts w:ascii="Calibri" w:hAnsi="Calibri" w:cs="Calibri"/>
              </w:rPr>
            </w:pPr>
            <w:r w:rsidRPr="00557072">
              <w:rPr>
                <w:rFonts w:ascii="Calibri" w:eastAsia="Calibri" w:hAnsi="Calibri" w:cs="Calibri"/>
                <w:color w:val="000000"/>
                <w:sz w:val="16"/>
                <w:szCs w:val="16"/>
                <w:u w:color="00000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0A8D941" w14:textId="080386D2" w:rsidR="000E0D35" w:rsidRPr="000344A0" w:rsidRDefault="000E0D35" w:rsidP="000E0D35">
            <w:pPr>
              <w:rPr>
                <w:rFonts w:ascii="Calibri" w:hAnsi="Calibri" w:cs="Calibri"/>
              </w:rPr>
            </w:pPr>
            <w:r>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8A34964" w14:textId="613B315B" w:rsidR="000E0D35" w:rsidRPr="000344A0" w:rsidRDefault="000E0D35" w:rsidP="000E0D35">
            <w:pPr>
              <w:rPr>
                <w:rFonts w:ascii="Calibri" w:hAnsi="Calibri" w:cs="Calibri"/>
              </w:rPr>
            </w:pPr>
            <w:r w:rsidRPr="001E48E4">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B432C55" w14:textId="7C108BE5" w:rsidR="000E0D35" w:rsidRPr="000344A0" w:rsidRDefault="000E0D35" w:rsidP="000E0D35">
            <w:pPr>
              <w:rPr>
                <w:rFonts w:ascii="Calibri" w:hAnsi="Calibri" w:cs="Calibri"/>
              </w:rPr>
            </w:pPr>
            <w:r w:rsidRPr="001E48E4">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B08C31F" w14:textId="563F00D1" w:rsidR="000E0D35" w:rsidRPr="000344A0" w:rsidRDefault="000E0D35" w:rsidP="000E0D35">
            <w:pPr>
              <w:rPr>
                <w:rFonts w:ascii="Calibri" w:hAnsi="Calibri" w:cs="Calibri"/>
              </w:rPr>
            </w:pPr>
            <w:r w:rsidRPr="001E48E4">
              <w:rPr>
                <w:rFonts w:ascii="Calibri" w:eastAsia="Calibri" w:hAnsi="Calibri" w:cs="Calibri"/>
                <w:color w:val="000000"/>
                <w:sz w:val="16"/>
                <w:szCs w:val="16"/>
                <w:u w:color="000000"/>
              </w:rPr>
              <w:t>E</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A325B0B" w14:textId="43FD6524" w:rsidR="000E0D35" w:rsidRPr="000344A0" w:rsidRDefault="000E0D35" w:rsidP="000E0D35">
            <w:pPr>
              <w:rPr>
                <w:rFonts w:ascii="Calibri" w:hAnsi="Calibri" w:cs="Calibri"/>
              </w:rPr>
            </w:pPr>
            <w:r w:rsidRPr="001E48E4">
              <w:rPr>
                <w:rFonts w:ascii="Calibri" w:eastAsia="Calibri" w:hAnsi="Calibri" w:cs="Calibri"/>
                <w:color w:val="000000"/>
                <w:sz w:val="16"/>
                <w:szCs w:val="16"/>
                <w:u w:color="000000"/>
              </w:rPr>
              <w:t>E</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DBAC94" w14:textId="6FEE203D"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E78A613" w14:textId="17B4626A"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587E792" w14:textId="1B782398"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9CB7627" w14:textId="1D5C73CD"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D806CCB" w14:textId="09DA48FC"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2DA6B2F" w14:textId="152FFF83"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04EAFD6" w14:textId="1489BF6C"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r>
    </w:tbl>
    <w:p w14:paraId="062F46E8" w14:textId="77777777" w:rsidR="00F80BC5" w:rsidRPr="000344A0" w:rsidRDefault="00F80BC5">
      <w:pPr>
        <w:pStyle w:val="Body"/>
        <w:widowControl w:val="0"/>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80"/>
      </w:tblGrid>
      <w:tr w:rsidR="00F80BC5" w:rsidRPr="000344A0" w14:paraId="7AF48CB7" w14:textId="77777777">
        <w:trPr>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057BD705" w14:textId="77777777" w:rsidR="00F80BC5" w:rsidRPr="000344A0" w:rsidRDefault="000A0AB5">
            <w:pPr>
              <w:pStyle w:val="Body"/>
            </w:pPr>
            <w:r w:rsidRPr="000344A0">
              <w:rPr>
                <w:b/>
                <w:bCs/>
                <w:sz w:val="20"/>
                <w:szCs w:val="20"/>
              </w:rPr>
              <w:t>Curriculum Structure – Year 11</w:t>
            </w:r>
          </w:p>
        </w:tc>
      </w:tr>
      <w:tr w:rsidR="000E0D35" w:rsidRPr="000344A0" w14:paraId="6CFD9A94" w14:textId="77777777" w:rsidTr="00B63944">
        <w:trPr>
          <w:trHeight w:val="210"/>
        </w:trPr>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2C747A3" w14:textId="6A1F49A8"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13F523" w14:textId="01B64066"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2AFE6AD" w14:textId="42E649BE"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1316613" w14:textId="1C47D403"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F25AE9C" w14:textId="4D622CB9"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3A869FF" w14:textId="0F84CD28"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EF70E83" w14:textId="6388CCEA"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6F49E3F" w14:textId="7668CA0C"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16784AB" w14:textId="29F18191" w:rsidR="000E0D35" w:rsidRPr="000344A0" w:rsidRDefault="000E0D35" w:rsidP="000E0D35">
            <w:pPr>
              <w:rPr>
                <w:rFonts w:ascii="Calibri" w:hAnsi="Calibri" w:cs="Calibri"/>
              </w:rPr>
            </w:pPr>
            <w:r>
              <w:rPr>
                <w:rFonts w:ascii="Calibri" w:eastAsia="Calibri" w:hAnsi="Calibri" w:cs="Calibri"/>
                <w:color w:val="000000"/>
                <w:sz w:val="16"/>
                <w:szCs w:val="16"/>
                <w:u w:color="000000"/>
              </w:rPr>
              <w:t>F</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B596D49" w14:textId="6F9066E3"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0C26933" w14:textId="43E5976B"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D4AC801" w14:textId="3497FBD2"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8E7BF94" w14:textId="4FC1A5C7"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DAD7C4A" w14:textId="7EEA9F0C"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385EF76" w14:textId="2044BA69"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404DC5" w14:textId="07351730"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1F4587C" w14:textId="66DDBD58"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5F33F52" w14:textId="5050F610"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FD1286C" w14:textId="14B424C3"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60885D5" w14:textId="4FCD04AC"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0032AFA" w14:textId="35CA4EEF"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4947031" w14:textId="7E57ED1B"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DA0EA8F" w14:textId="6A3EFC48"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15332DC" w14:textId="693B049A"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FD303A1" w14:textId="7CD7E959"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D3F0BEE" w14:textId="1EDF35A8"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6B99E80" w14:textId="2AAC7395"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A0263DA" w14:textId="4D28B475"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8BD6363" w14:textId="668BA400"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9A817D" w14:textId="509D0D91" w:rsidR="000E0D35" w:rsidRPr="000344A0" w:rsidRDefault="000E0D35" w:rsidP="000E0D35">
            <w:pPr>
              <w:rPr>
                <w:rFonts w:ascii="Calibri" w:hAnsi="Calibri" w:cs="Calibri"/>
              </w:rPr>
            </w:pPr>
            <w:r w:rsidRPr="00360C9E">
              <w:rPr>
                <w:rFonts w:ascii="Calibri" w:eastAsia="Calibri" w:hAnsi="Calibri" w:cs="Calibri"/>
                <w:color w:val="000000"/>
                <w:sz w:val="16"/>
                <w:szCs w:val="16"/>
                <w:u w:color="000000"/>
              </w:rPr>
              <w:t>E</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6667EEA"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51F9D10"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8D968A5"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7906945"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A23420C"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5A9B939"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B33AB01" w14:textId="77777777" w:rsidR="000E0D35" w:rsidRPr="000F3388" w:rsidRDefault="000E0D35" w:rsidP="000E0D35">
            <w:pPr>
              <w:rPr>
                <w:rFonts w:ascii="Calibri" w:hAnsi="Calibri" w:cs="Calibri"/>
                <w:sz w:val="16"/>
                <w:szCs w:val="16"/>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8342366" w14:textId="77777777" w:rsidR="000E0D35" w:rsidRPr="000F3388" w:rsidRDefault="000E0D35" w:rsidP="000E0D35">
            <w:pPr>
              <w:rPr>
                <w:rFonts w:ascii="Calibri" w:hAnsi="Calibri" w:cs="Calibri"/>
                <w:sz w:val="16"/>
                <w:szCs w:val="16"/>
              </w:rPr>
            </w:pPr>
          </w:p>
        </w:tc>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33ED853" w14:textId="77777777" w:rsidR="000E0D35" w:rsidRPr="000F3388" w:rsidRDefault="000E0D35" w:rsidP="000E0D35">
            <w:pPr>
              <w:rPr>
                <w:rFonts w:ascii="Calibri" w:hAnsi="Calibri" w:cs="Calibri"/>
                <w:sz w:val="16"/>
                <w:szCs w:val="16"/>
              </w:rPr>
            </w:pPr>
          </w:p>
        </w:tc>
      </w:tr>
    </w:tbl>
    <w:p w14:paraId="4F6F1FD9" w14:textId="77777777" w:rsidR="00F80BC5" w:rsidRPr="000344A0" w:rsidRDefault="00F80BC5">
      <w:pPr>
        <w:pStyle w:val="Body"/>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3DEF09B8"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752595C1" w14:textId="56A3569B" w:rsidR="00F80BC5" w:rsidRPr="000344A0" w:rsidRDefault="000A0AB5">
            <w:pPr>
              <w:pStyle w:val="Body"/>
            </w:pPr>
            <w:r w:rsidRPr="000344A0">
              <w:rPr>
                <w:b/>
                <w:bCs/>
                <w:sz w:val="20"/>
                <w:szCs w:val="20"/>
              </w:rPr>
              <w:lastRenderedPageBreak/>
              <w:t xml:space="preserve">Unit </w:t>
            </w:r>
            <w:r w:rsidR="00B63944">
              <w:rPr>
                <w:b/>
                <w:bCs/>
                <w:sz w:val="20"/>
                <w:szCs w:val="20"/>
              </w:rPr>
              <w:t>A</w:t>
            </w:r>
            <w:r w:rsidRPr="000344A0">
              <w:rPr>
                <w:b/>
                <w:bCs/>
                <w:sz w:val="20"/>
                <w:szCs w:val="20"/>
              </w:rPr>
              <w:t xml:space="preserve"> – Flat Pack Furniture </w:t>
            </w:r>
          </w:p>
        </w:tc>
      </w:tr>
      <w:tr w:rsidR="00F80BC5" w:rsidRPr="000344A0" w14:paraId="63FA2657"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1654B462"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A98D397" w14:textId="77777777" w:rsidR="00F80BC5" w:rsidRPr="000344A0" w:rsidRDefault="000A0AB5">
            <w:pPr>
              <w:pStyle w:val="Body"/>
            </w:pPr>
            <w:r w:rsidRPr="000344A0">
              <w:rPr>
                <w:sz w:val="20"/>
                <w:szCs w:val="20"/>
              </w:rPr>
              <w:t xml:space="preserve">Students will research and develop ideas based on the Memphis group focusing on the ergonomics and anthropometrics needed to be considered </w:t>
            </w:r>
            <w:proofErr w:type="gramStart"/>
            <w:r w:rsidRPr="000344A0">
              <w:rPr>
                <w:sz w:val="20"/>
                <w:szCs w:val="20"/>
              </w:rPr>
              <w:t>In</w:t>
            </w:r>
            <w:proofErr w:type="gramEnd"/>
            <w:r w:rsidRPr="000344A0">
              <w:rPr>
                <w:sz w:val="20"/>
                <w:szCs w:val="20"/>
              </w:rPr>
              <w:t xml:space="preserve"> furniture. </w:t>
            </w:r>
          </w:p>
        </w:tc>
      </w:tr>
      <w:tr w:rsidR="00F80BC5" w:rsidRPr="000344A0" w14:paraId="3D4C97E5" w14:textId="77777777">
        <w:trPr>
          <w:trHeight w:val="67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0E9DB352"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2F510DA" w14:textId="77777777" w:rsidR="00F80BC5" w:rsidRPr="000344A0" w:rsidRDefault="000A0AB5">
            <w:pPr>
              <w:pStyle w:val="Body"/>
              <w:rPr>
                <w:sz w:val="20"/>
                <w:szCs w:val="20"/>
              </w:rPr>
            </w:pPr>
            <w:r w:rsidRPr="000344A0">
              <w:rPr>
                <w:sz w:val="20"/>
                <w:szCs w:val="20"/>
              </w:rPr>
              <w:t xml:space="preserve">To understand how new and emerging technologies have changed the way we live and how computers and automations have impacted upon design and </w:t>
            </w:r>
            <w:proofErr w:type="spellStart"/>
            <w:r w:rsidRPr="000344A0">
              <w:rPr>
                <w:sz w:val="20"/>
                <w:szCs w:val="20"/>
              </w:rPr>
              <w:t>organisation</w:t>
            </w:r>
            <w:proofErr w:type="spellEnd"/>
            <w:r w:rsidRPr="000344A0">
              <w:rPr>
                <w:sz w:val="20"/>
                <w:szCs w:val="20"/>
              </w:rPr>
              <w:t xml:space="preserve"> of the work place. </w:t>
            </w:r>
          </w:p>
          <w:p w14:paraId="1E9460A7" w14:textId="77777777" w:rsidR="00F80BC5" w:rsidRPr="000344A0" w:rsidRDefault="000A0AB5">
            <w:pPr>
              <w:pStyle w:val="Body"/>
            </w:pPr>
            <w:r w:rsidRPr="000344A0">
              <w:rPr>
                <w:sz w:val="20"/>
                <w:szCs w:val="20"/>
              </w:rPr>
              <w:t>To be able to explain when different manufacturing methods are used for different [production volumes.</w:t>
            </w:r>
          </w:p>
        </w:tc>
      </w:tr>
    </w:tbl>
    <w:p w14:paraId="53217C34" w14:textId="77777777" w:rsidR="00F80BC5" w:rsidRPr="000344A0" w:rsidRDefault="00F80BC5">
      <w:pPr>
        <w:pStyle w:val="Body"/>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0629CCD7"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46A6C03D" w14:textId="1C46666C" w:rsidR="00F80BC5" w:rsidRPr="000344A0" w:rsidRDefault="000A0AB5">
            <w:pPr>
              <w:pStyle w:val="Body"/>
            </w:pPr>
            <w:r w:rsidRPr="000344A0">
              <w:rPr>
                <w:b/>
                <w:bCs/>
                <w:sz w:val="20"/>
                <w:szCs w:val="20"/>
              </w:rPr>
              <w:t xml:space="preserve">Unit </w:t>
            </w:r>
            <w:r w:rsidR="00B63944">
              <w:rPr>
                <w:b/>
                <w:bCs/>
                <w:sz w:val="20"/>
                <w:szCs w:val="20"/>
              </w:rPr>
              <w:t>B</w:t>
            </w:r>
            <w:r w:rsidRPr="000344A0">
              <w:rPr>
                <w:b/>
                <w:bCs/>
                <w:sz w:val="20"/>
                <w:szCs w:val="20"/>
              </w:rPr>
              <w:t xml:space="preserve"> – Sustainable lighting</w:t>
            </w:r>
          </w:p>
        </w:tc>
      </w:tr>
      <w:tr w:rsidR="00F80BC5" w:rsidRPr="000344A0" w14:paraId="3873F9C0"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0CA3FE12"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A56A13B" w14:textId="77777777" w:rsidR="00F80BC5" w:rsidRPr="000344A0" w:rsidRDefault="000A0AB5">
            <w:pPr>
              <w:pStyle w:val="Body"/>
            </w:pPr>
            <w:r w:rsidRPr="000344A0">
              <w:rPr>
                <w:sz w:val="20"/>
                <w:szCs w:val="20"/>
              </w:rPr>
              <w:t>Student will research, develop and produce lighting focusing on sustainability, recycling and the working properties of paper and boards to create cardboard lighting.</w:t>
            </w:r>
          </w:p>
        </w:tc>
      </w:tr>
      <w:tr w:rsidR="00F80BC5" w:rsidRPr="000344A0" w14:paraId="6C74FE64" w14:textId="77777777">
        <w:trPr>
          <w:trHeight w:val="89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440FFC2"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CA09A7A" w14:textId="77777777" w:rsidR="00F80BC5" w:rsidRPr="000344A0" w:rsidRDefault="000A0AB5">
            <w:pPr>
              <w:pStyle w:val="Body"/>
              <w:rPr>
                <w:sz w:val="20"/>
                <w:szCs w:val="20"/>
              </w:rPr>
            </w:pPr>
            <w:r w:rsidRPr="000344A0">
              <w:rPr>
                <w:sz w:val="20"/>
                <w:szCs w:val="20"/>
              </w:rPr>
              <w:t>To be aware of the impact that resource consumption has on the planet</w:t>
            </w:r>
          </w:p>
          <w:p w14:paraId="185334D5" w14:textId="77777777" w:rsidR="00F80BC5" w:rsidRPr="000344A0" w:rsidRDefault="000A0AB5">
            <w:pPr>
              <w:pStyle w:val="Body"/>
              <w:rPr>
                <w:sz w:val="20"/>
                <w:szCs w:val="20"/>
              </w:rPr>
            </w:pPr>
            <w:r w:rsidRPr="000344A0">
              <w:rPr>
                <w:sz w:val="20"/>
                <w:szCs w:val="20"/>
              </w:rPr>
              <w:t xml:space="preserve">Understand how the environment can be protected by responsible design and manufacturing </w:t>
            </w:r>
          </w:p>
          <w:p w14:paraId="4B1E822E" w14:textId="77777777" w:rsidR="00F80BC5" w:rsidRPr="000344A0" w:rsidRDefault="000A0AB5">
            <w:pPr>
              <w:pStyle w:val="Body"/>
            </w:pPr>
            <w:r w:rsidRPr="000344A0">
              <w:rPr>
                <w:sz w:val="20"/>
                <w:szCs w:val="20"/>
              </w:rPr>
              <w:t xml:space="preserve">To be able to </w:t>
            </w:r>
            <w:proofErr w:type="spellStart"/>
            <w:r w:rsidRPr="000344A0">
              <w:rPr>
                <w:sz w:val="20"/>
                <w:szCs w:val="20"/>
              </w:rPr>
              <w:t>recognise</w:t>
            </w:r>
            <w:proofErr w:type="spellEnd"/>
            <w:r w:rsidRPr="000344A0">
              <w:rPr>
                <w:sz w:val="20"/>
                <w:szCs w:val="20"/>
              </w:rPr>
              <w:t xml:space="preserve">, </w:t>
            </w:r>
            <w:proofErr w:type="spellStart"/>
            <w:r w:rsidRPr="000344A0">
              <w:rPr>
                <w:sz w:val="20"/>
                <w:szCs w:val="20"/>
              </w:rPr>
              <w:t>characterise</w:t>
            </w:r>
            <w:proofErr w:type="spellEnd"/>
            <w:r w:rsidRPr="000344A0">
              <w:rPr>
                <w:sz w:val="20"/>
                <w:szCs w:val="20"/>
              </w:rPr>
              <w:t xml:space="preserve"> and know the physical and working properties of different types of paper and boards and where their primary sources are from.</w:t>
            </w:r>
          </w:p>
        </w:tc>
      </w:tr>
    </w:tbl>
    <w:p w14:paraId="24D3100E" w14:textId="77777777" w:rsidR="00F80BC5" w:rsidRPr="000344A0" w:rsidRDefault="00F80BC5">
      <w:pPr>
        <w:pStyle w:val="Body"/>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50F59398"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01BAE2B" w14:textId="07EB2395" w:rsidR="00F80BC5" w:rsidRPr="000344A0" w:rsidRDefault="000A0AB5">
            <w:pPr>
              <w:pStyle w:val="Body"/>
            </w:pPr>
            <w:r w:rsidRPr="000344A0">
              <w:rPr>
                <w:b/>
                <w:bCs/>
                <w:sz w:val="20"/>
                <w:szCs w:val="20"/>
              </w:rPr>
              <w:t xml:space="preserve">Unit </w:t>
            </w:r>
            <w:r w:rsidR="00B63944">
              <w:rPr>
                <w:b/>
                <w:bCs/>
                <w:sz w:val="20"/>
                <w:szCs w:val="20"/>
              </w:rPr>
              <w:t>C</w:t>
            </w:r>
            <w:r w:rsidRPr="000344A0">
              <w:rPr>
                <w:b/>
                <w:bCs/>
                <w:sz w:val="20"/>
                <w:szCs w:val="20"/>
              </w:rPr>
              <w:t xml:space="preserve"> – Design Ventura</w:t>
            </w:r>
          </w:p>
        </w:tc>
      </w:tr>
      <w:tr w:rsidR="00F80BC5" w:rsidRPr="000344A0" w14:paraId="1282C40D"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782BFE3D"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AC56A10" w14:textId="77777777" w:rsidR="00F80BC5" w:rsidRPr="000344A0" w:rsidRDefault="000A0AB5">
            <w:pPr>
              <w:rPr>
                <w:rFonts w:ascii="Calibri" w:hAnsi="Calibri" w:cs="Calibri"/>
              </w:rPr>
            </w:pPr>
            <w:r w:rsidRPr="000344A0">
              <w:rPr>
                <w:rFonts w:ascii="Calibri" w:eastAsia="Calibri" w:hAnsi="Calibri" w:cs="Calibri"/>
                <w:color w:val="000000"/>
                <w:sz w:val="20"/>
                <w:szCs w:val="20"/>
                <w:u w:color="000000"/>
              </w:rPr>
              <w:t>Design Ventura: A design competition where students will design and make a prototype for a product to be manufactured to be sold in a Design Museum shop.</w:t>
            </w:r>
          </w:p>
        </w:tc>
      </w:tr>
      <w:tr w:rsidR="00F80BC5" w:rsidRPr="000344A0" w14:paraId="4A4AA67F" w14:textId="77777777">
        <w:trPr>
          <w:trHeight w:val="23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3DA7F134"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EDD207E" w14:textId="77777777" w:rsidR="000A0AB5" w:rsidRPr="000344A0" w:rsidRDefault="000A0AB5" w:rsidP="000A0A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3"/>
                <w:bdr w:val="none" w:sz="0" w:space="0" w:color="auto"/>
                <w:lang w:val="en-GB" w:eastAsia="en-GB"/>
              </w:rPr>
            </w:pPr>
            <w:r w:rsidRPr="000344A0">
              <w:rPr>
                <w:rFonts w:ascii="Calibri" w:eastAsia="Times New Roman" w:hAnsi="Calibri" w:cs="Calibri"/>
                <w:sz w:val="20"/>
                <w:szCs w:val="23"/>
                <w:bdr w:val="none" w:sz="0" w:space="0" w:color="auto"/>
                <w:lang w:val="en-GB" w:eastAsia="en-GB"/>
              </w:rPr>
              <w:t>Design Ventura challenges students in years 9, 10 and 11 to design a new product for the Design Museum shop.</w:t>
            </w:r>
          </w:p>
          <w:p w14:paraId="3434825A" w14:textId="77777777" w:rsidR="000A0AB5" w:rsidRPr="000344A0" w:rsidRDefault="000A0AB5" w:rsidP="000A0AB5">
            <w:pPr>
              <w:pStyle w:val="NormalWeb"/>
              <w:spacing w:after="0" w:line="240" w:lineRule="auto"/>
              <w:rPr>
                <w:rFonts w:ascii="Calibri" w:hAnsi="Calibri" w:cs="Calibri"/>
                <w:sz w:val="20"/>
              </w:rPr>
            </w:pPr>
            <w:r w:rsidRPr="000344A0">
              <w:rPr>
                <w:rFonts w:ascii="Calibri" w:hAnsi="Calibri" w:cs="Calibri"/>
                <w:sz w:val="20"/>
              </w:rPr>
              <w:t xml:space="preserve">Design Ventura, the </w:t>
            </w:r>
            <w:hyperlink r:id="rId9" w:history="1">
              <w:r w:rsidRPr="000344A0">
                <w:rPr>
                  <w:rFonts w:ascii="Calibri" w:hAnsi="Calibri" w:cs="Calibri"/>
                  <w:sz w:val="20"/>
                </w:rPr>
                <w:t>Design Museum’s</w:t>
              </w:r>
            </w:hyperlink>
            <w:r w:rsidRPr="000344A0">
              <w:rPr>
                <w:rFonts w:ascii="Calibri" w:hAnsi="Calibri" w:cs="Calibri"/>
                <w:sz w:val="20"/>
              </w:rPr>
              <w:t xml:space="preserve"> flagship learning project, is an opportunity for students to develop design thinking, creative and business capabilities and employability skills. Students, working in teams, are asked to consider the whole process of design, from initial ideas to manufacturing and budgets to marketing and branding.</w:t>
            </w:r>
          </w:p>
          <w:p w14:paraId="5D7984D8" w14:textId="77777777" w:rsidR="000A0AB5" w:rsidRPr="000344A0" w:rsidRDefault="000A0AB5" w:rsidP="000A0AB5">
            <w:pPr>
              <w:pStyle w:val="NormalWeb"/>
              <w:spacing w:after="0" w:line="240" w:lineRule="auto"/>
              <w:rPr>
                <w:rFonts w:ascii="Calibri" w:hAnsi="Calibri" w:cs="Calibri"/>
                <w:sz w:val="20"/>
              </w:rPr>
            </w:pPr>
            <w:r w:rsidRPr="000344A0">
              <w:rPr>
                <w:rFonts w:ascii="Calibri" w:hAnsi="Calibri" w:cs="Calibri"/>
                <w:sz w:val="20"/>
              </w:rPr>
              <w:t>The top ten state school teams are invited to a pitching event at the Design Museum and the winning team, announced at the Celebration Event, go on to work with a professional design team to develop their idea and see it on sale the Design Museum Shop.</w:t>
            </w:r>
          </w:p>
          <w:p w14:paraId="19EA3D9E" w14:textId="77777777" w:rsidR="00F80BC5" w:rsidRPr="000344A0" w:rsidRDefault="00F80BC5">
            <w:pPr>
              <w:rPr>
                <w:rFonts w:ascii="Calibri" w:hAnsi="Calibri" w:cs="Calibri"/>
              </w:rPr>
            </w:pPr>
          </w:p>
        </w:tc>
      </w:tr>
    </w:tbl>
    <w:p w14:paraId="2CE236A5" w14:textId="77777777" w:rsidR="00F80BC5" w:rsidRPr="000344A0"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54A95DAE"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14D89A6F" w14:textId="16D8D7EF" w:rsidR="00F80BC5" w:rsidRPr="000344A0" w:rsidRDefault="000A0AB5">
            <w:pPr>
              <w:pStyle w:val="Body"/>
            </w:pPr>
            <w:r w:rsidRPr="000344A0">
              <w:rPr>
                <w:b/>
                <w:bCs/>
                <w:sz w:val="20"/>
                <w:szCs w:val="20"/>
              </w:rPr>
              <w:t xml:space="preserve">Unit </w:t>
            </w:r>
            <w:r w:rsidR="00B63944">
              <w:rPr>
                <w:b/>
                <w:bCs/>
                <w:sz w:val="20"/>
                <w:szCs w:val="20"/>
              </w:rPr>
              <w:t>D</w:t>
            </w:r>
            <w:r w:rsidRPr="000344A0">
              <w:rPr>
                <w:b/>
                <w:bCs/>
                <w:sz w:val="20"/>
                <w:szCs w:val="20"/>
              </w:rPr>
              <w:t xml:space="preserve"> – NEA Mock</w:t>
            </w:r>
          </w:p>
        </w:tc>
      </w:tr>
      <w:tr w:rsidR="00F80BC5" w:rsidRPr="000344A0" w14:paraId="4A9645D0"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007BAF63"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4040DE8" w14:textId="77777777" w:rsidR="00F80BC5" w:rsidRPr="000344A0" w:rsidRDefault="000A0AB5">
            <w:pPr>
              <w:rPr>
                <w:rFonts w:ascii="Calibri" w:hAnsi="Calibri" w:cs="Calibri"/>
              </w:rPr>
            </w:pPr>
            <w:r w:rsidRPr="000344A0">
              <w:rPr>
                <w:rFonts w:ascii="Calibri" w:eastAsia="Calibri" w:hAnsi="Calibri" w:cs="Calibri"/>
                <w:color w:val="000000"/>
                <w:sz w:val="20"/>
                <w:szCs w:val="20"/>
                <w:u w:color="000000"/>
              </w:rPr>
              <w:t>NEA Mock: Project based on a previous NEA provided by the exam board</w:t>
            </w:r>
          </w:p>
        </w:tc>
      </w:tr>
      <w:tr w:rsidR="00F80BC5" w:rsidRPr="000344A0" w14:paraId="2717B686" w14:textId="77777777">
        <w:trPr>
          <w:trHeight w:val="23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02011B50"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F8186A7" w14:textId="77777777" w:rsidR="00F80BC5" w:rsidRPr="000344A0" w:rsidRDefault="000A0AB5" w:rsidP="000A0AB5">
            <w:pPr>
              <w:rPr>
                <w:rFonts w:ascii="Calibri" w:hAnsi="Calibri" w:cs="Calibri"/>
                <w:sz w:val="20"/>
                <w:szCs w:val="20"/>
              </w:rPr>
            </w:pPr>
            <w:r w:rsidRPr="000344A0">
              <w:rPr>
                <w:rFonts w:ascii="Calibri" w:hAnsi="Calibri" w:cs="Calibri"/>
                <w:sz w:val="20"/>
                <w:szCs w:val="20"/>
              </w:rPr>
              <w:t xml:space="preserve">Students are given the opportunity to practice an NEA mock portfolio in preparation for the final assessment in the end of year 10. Students are walked through the process of completing the task in an environment that allows them to answer questions. (The JCQ guidelines do not allow this level of interaction form the teacher when they complete the final task do by having this practice they are able to gain understanding in advance) They are shown best practice and given a framework to follow to enable them to do this. </w:t>
            </w:r>
          </w:p>
        </w:tc>
      </w:tr>
    </w:tbl>
    <w:p w14:paraId="53C1F4D7" w14:textId="77777777" w:rsidR="00F80BC5" w:rsidRPr="000344A0"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0E2B6221"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2DBEDCDA" w14:textId="1EE4A34D" w:rsidR="00F80BC5" w:rsidRPr="000344A0" w:rsidRDefault="000A0AB5">
            <w:pPr>
              <w:pStyle w:val="Body"/>
            </w:pPr>
            <w:r w:rsidRPr="000344A0">
              <w:rPr>
                <w:b/>
                <w:bCs/>
                <w:sz w:val="20"/>
                <w:szCs w:val="20"/>
              </w:rPr>
              <w:t xml:space="preserve">Unit </w:t>
            </w:r>
            <w:r w:rsidR="00B63944">
              <w:rPr>
                <w:b/>
                <w:bCs/>
                <w:sz w:val="20"/>
                <w:szCs w:val="20"/>
              </w:rPr>
              <w:t>E</w:t>
            </w:r>
            <w:r w:rsidRPr="000344A0">
              <w:rPr>
                <w:b/>
                <w:bCs/>
                <w:sz w:val="20"/>
                <w:szCs w:val="20"/>
              </w:rPr>
              <w:t xml:space="preserve"> – Exam Revision</w:t>
            </w:r>
          </w:p>
        </w:tc>
      </w:tr>
      <w:tr w:rsidR="00F80BC5" w:rsidRPr="000344A0" w14:paraId="136E206E"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316031AE"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25EA1B3" w14:textId="77777777" w:rsidR="00F80BC5" w:rsidRPr="000344A0" w:rsidRDefault="000A0AB5">
            <w:pPr>
              <w:rPr>
                <w:rFonts w:ascii="Calibri" w:hAnsi="Calibri" w:cs="Calibri"/>
              </w:rPr>
            </w:pPr>
            <w:r w:rsidRPr="000344A0">
              <w:rPr>
                <w:rFonts w:ascii="Calibri" w:eastAsia="Calibri" w:hAnsi="Calibri" w:cs="Calibri"/>
                <w:color w:val="000000"/>
                <w:sz w:val="20"/>
                <w:szCs w:val="20"/>
                <w:u w:color="000000"/>
              </w:rPr>
              <w:t xml:space="preserve">Theory Revision  </w:t>
            </w:r>
          </w:p>
        </w:tc>
      </w:tr>
      <w:tr w:rsidR="00F80BC5" w:rsidRPr="000344A0" w14:paraId="61D0B63E" w14:textId="77777777">
        <w:trPr>
          <w:trHeight w:val="23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02DECB9F"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83633F5" w14:textId="77777777" w:rsidR="00F80BC5" w:rsidRPr="000344A0" w:rsidRDefault="000344A0">
            <w:pPr>
              <w:rPr>
                <w:rFonts w:ascii="Calibri" w:hAnsi="Calibri" w:cs="Calibri"/>
                <w:sz w:val="20"/>
                <w:szCs w:val="22"/>
              </w:rPr>
            </w:pPr>
            <w:r w:rsidRPr="000344A0">
              <w:rPr>
                <w:rFonts w:ascii="Calibri" w:hAnsi="Calibri" w:cs="Calibri"/>
                <w:sz w:val="20"/>
                <w:szCs w:val="22"/>
              </w:rPr>
              <w:t xml:space="preserve">An opportunity to select areas of weakness in student knowledge prior to the exam. </w:t>
            </w:r>
          </w:p>
          <w:p w14:paraId="12740365"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20"/>
                <w:szCs w:val="22"/>
                <w:lang w:val="en-GB" w:eastAsia="en-GB"/>
              </w:rPr>
            </w:pPr>
            <w:r w:rsidRPr="000344A0">
              <w:rPr>
                <w:rFonts w:ascii="Calibri" w:hAnsi="Calibri" w:cs="Calibri"/>
                <w:b/>
                <w:bCs/>
                <w:sz w:val="20"/>
                <w:szCs w:val="22"/>
                <w:lang w:val="en-GB" w:eastAsia="en-GB"/>
              </w:rPr>
              <w:t>Section A – Core technical principles (20 marks)</w:t>
            </w:r>
          </w:p>
          <w:p w14:paraId="07B2E574"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A mixture of multiple choice and short answer questions assessing a breadth of technical</w:t>
            </w:r>
          </w:p>
          <w:p w14:paraId="7519499C"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knowledge and understanding.</w:t>
            </w:r>
          </w:p>
          <w:p w14:paraId="6629E7E5"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20"/>
                <w:szCs w:val="22"/>
                <w:lang w:val="en-GB" w:eastAsia="en-GB"/>
              </w:rPr>
            </w:pPr>
            <w:r w:rsidRPr="000344A0">
              <w:rPr>
                <w:rFonts w:ascii="Calibri" w:hAnsi="Calibri" w:cs="Calibri"/>
                <w:b/>
                <w:bCs/>
                <w:sz w:val="20"/>
                <w:szCs w:val="22"/>
                <w:lang w:val="en-GB" w:eastAsia="en-GB"/>
              </w:rPr>
              <w:t>Section B – Specialist technical principles (30 marks)</w:t>
            </w:r>
          </w:p>
          <w:p w14:paraId="70B230B4"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Several short answer questions (2–5 marks) and one extended response to assess a more in</w:t>
            </w:r>
          </w:p>
          <w:p w14:paraId="7F035489"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depth knowledge of technical principles.</w:t>
            </w:r>
          </w:p>
          <w:p w14:paraId="3DCF0262"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20"/>
                <w:szCs w:val="22"/>
                <w:lang w:val="en-GB" w:eastAsia="en-GB"/>
              </w:rPr>
            </w:pPr>
            <w:r w:rsidRPr="000344A0">
              <w:rPr>
                <w:rFonts w:ascii="Calibri" w:hAnsi="Calibri" w:cs="Calibri"/>
                <w:b/>
                <w:bCs/>
                <w:sz w:val="20"/>
                <w:szCs w:val="22"/>
                <w:lang w:val="en-GB" w:eastAsia="en-GB"/>
              </w:rPr>
              <w:t>Section C – Designing and making principles (50 marks)</w:t>
            </w:r>
          </w:p>
          <w:p w14:paraId="499B31C2" w14:textId="77777777" w:rsidR="000344A0" w:rsidRPr="000344A0" w:rsidRDefault="000344A0" w:rsidP="000344A0">
            <w:pPr>
              <w:rPr>
                <w:rFonts w:ascii="Calibri" w:hAnsi="Calibri" w:cs="Calibri"/>
              </w:rPr>
            </w:pPr>
            <w:r w:rsidRPr="000344A0">
              <w:rPr>
                <w:rFonts w:ascii="Calibri" w:hAnsi="Calibri" w:cs="Calibri"/>
                <w:sz w:val="20"/>
                <w:szCs w:val="22"/>
                <w:lang w:val="en-GB" w:eastAsia="en-GB"/>
              </w:rPr>
              <w:t>A mixture of short answer and extended response questions.</w:t>
            </w:r>
          </w:p>
        </w:tc>
      </w:tr>
    </w:tbl>
    <w:p w14:paraId="1EEC4F67" w14:textId="77777777" w:rsidR="00F80BC5" w:rsidRPr="000344A0" w:rsidRDefault="00F80BC5">
      <w:pPr>
        <w:pStyle w:val="Body"/>
        <w:widowControl w:val="0"/>
        <w:rPr>
          <w:sz w:val="20"/>
          <w:szCs w:val="20"/>
        </w:rPr>
      </w:pPr>
    </w:p>
    <w:p w14:paraId="6AAEE4F4" w14:textId="77777777" w:rsidR="00F80BC5" w:rsidRPr="000344A0" w:rsidRDefault="00F80BC5">
      <w:pPr>
        <w:pStyle w:val="Body"/>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0344A0" w14:paraId="5128B2B2"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29249DE" w14:textId="3BC038CE" w:rsidR="00F80BC5" w:rsidRPr="000344A0" w:rsidRDefault="000A0AB5">
            <w:pPr>
              <w:pStyle w:val="Body"/>
            </w:pPr>
            <w:r w:rsidRPr="000344A0">
              <w:rPr>
                <w:b/>
                <w:bCs/>
                <w:sz w:val="20"/>
                <w:szCs w:val="20"/>
              </w:rPr>
              <w:lastRenderedPageBreak/>
              <w:t xml:space="preserve">Unit </w:t>
            </w:r>
            <w:r w:rsidR="00B63944">
              <w:rPr>
                <w:b/>
                <w:bCs/>
                <w:sz w:val="20"/>
                <w:szCs w:val="20"/>
              </w:rPr>
              <w:t>F</w:t>
            </w:r>
            <w:r w:rsidRPr="000344A0">
              <w:rPr>
                <w:b/>
                <w:bCs/>
                <w:sz w:val="20"/>
                <w:szCs w:val="20"/>
              </w:rPr>
              <w:t xml:space="preserve"> – NEA</w:t>
            </w:r>
          </w:p>
        </w:tc>
      </w:tr>
      <w:tr w:rsidR="00F80BC5" w:rsidRPr="000344A0" w14:paraId="653CAE34"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215C49D5" w14:textId="77777777" w:rsidR="00F80BC5" w:rsidRPr="000344A0" w:rsidRDefault="000A0AB5">
            <w:pPr>
              <w:pStyle w:val="Body"/>
            </w:pPr>
            <w:r w:rsidRPr="000344A0">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C892AD2" w14:textId="77777777" w:rsidR="00F80BC5" w:rsidRPr="000344A0" w:rsidRDefault="000A0AB5">
            <w:pPr>
              <w:rPr>
                <w:rFonts w:ascii="Calibri" w:hAnsi="Calibri" w:cs="Calibri"/>
              </w:rPr>
            </w:pPr>
            <w:r w:rsidRPr="000344A0">
              <w:rPr>
                <w:rFonts w:ascii="Calibri" w:eastAsia="Calibri" w:hAnsi="Calibri" w:cs="Calibri"/>
                <w:color w:val="000000"/>
                <w:sz w:val="20"/>
                <w:szCs w:val="20"/>
                <w:u w:color="000000"/>
              </w:rPr>
              <w:t>Final NEA provided by the Exam board.</w:t>
            </w:r>
          </w:p>
        </w:tc>
      </w:tr>
      <w:tr w:rsidR="00F80BC5" w:rsidRPr="000344A0" w14:paraId="1B80687D" w14:textId="77777777">
        <w:trPr>
          <w:trHeight w:val="23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63F3DABA" w14:textId="77777777" w:rsidR="00F80BC5" w:rsidRPr="000344A0" w:rsidRDefault="000A0AB5">
            <w:pPr>
              <w:pStyle w:val="Body"/>
            </w:pPr>
            <w:r w:rsidRPr="000344A0">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D1B099C"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The NEA provides students the opportunity to demonstrate their abilities in the practical application of:</w:t>
            </w:r>
          </w:p>
          <w:p w14:paraId="314C58B3"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Core technical principles</w:t>
            </w:r>
          </w:p>
          <w:p w14:paraId="58F39940"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Specialist technical principles</w:t>
            </w:r>
          </w:p>
          <w:p w14:paraId="144B1E5E"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Designing and making principles</w:t>
            </w:r>
          </w:p>
          <w:p w14:paraId="20D8C821"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By completing a substantial design and make task in the following areas:</w:t>
            </w:r>
          </w:p>
          <w:p w14:paraId="37825482"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Identifying and investigating design possibilities</w:t>
            </w:r>
          </w:p>
          <w:p w14:paraId="1DF0D3C0"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Producing a design brief and specification</w:t>
            </w:r>
          </w:p>
          <w:p w14:paraId="3AF81C08"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Generating design ideas</w:t>
            </w:r>
          </w:p>
          <w:p w14:paraId="5B5829FC"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Developing design ideas</w:t>
            </w:r>
          </w:p>
          <w:p w14:paraId="604F8289"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Realising design ideas</w:t>
            </w:r>
          </w:p>
          <w:p w14:paraId="654FA160"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Analysing &amp; evaluating</w:t>
            </w:r>
          </w:p>
          <w:p w14:paraId="3AEED763"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In the spirit of the iterative design process, the above should be awarded holistically where</w:t>
            </w:r>
          </w:p>
          <w:p w14:paraId="77C9BFF0"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they take place and not in a linear manner</w:t>
            </w:r>
          </w:p>
          <w:p w14:paraId="11D54543"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Contextual challenges to be released annually by AQA on 1 June in the year prior to the</w:t>
            </w:r>
          </w:p>
          <w:p w14:paraId="3DCEE48C"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submission of the NEA</w:t>
            </w:r>
          </w:p>
          <w:p w14:paraId="45229418" w14:textId="77777777" w:rsidR="000344A0" w:rsidRPr="000344A0" w:rsidRDefault="000344A0" w:rsidP="000344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2"/>
                <w:lang w:val="en-GB" w:eastAsia="en-GB"/>
              </w:rPr>
            </w:pPr>
            <w:r w:rsidRPr="000344A0">
              <w:rPr>
                <w:rFonts w:ascii="Calibri" w:hAnsi="Calibri" w:cs="Calibri"/>
                <w:sz w:val="20"/>
                <w:szCs w:val="22"/>
                <w:lang w:val="en-GB" w:eastAsia="en-GB"/>
              </w:rPr>
              <w:t>• Students will produce a prototype and a portfolio of evidence</w:t>
            </w:r>
          </w:p>
          <w:p w14:paraId="5A983043" w14:textId="77777777" w:rsidR="00F80BC5" w:rsidRPr="000344A0" w:rsidRDefault="000344A0" w:rsidP="000344A0">
            <w:pPr>
              <w:rPr>
                <w:rFonts w:ascii="Calibri" w:hAnsi="Calibri" w:cs="Calibri"/>
                <w:sz w:val="20"/>
              </w:rPr>
            </w:pPr>
            <w:r w:rsidRPr="000344A0">
              <w:rPr>
                <w:rFonts w:ascii="Calibri" w:hAnsi="Calibri" w:cs="Calibri"/>
                <w:sz w:val="20"/>
                <w:szCs w:val="22"/>
                <w:lang w:val="en-GB" w:eastAsia="en-GB"/>
              </w:rPr>
              <w:t>• Work will be marked by teachers and moderated by AQA</w:t>
            </w:r>
          </w:p>
        </w:tc>
      </w:tr>
    </w:tbl>
    <w:p w14:paraId="28353756" w14:textId="77777777" w:rsidR="00F80BC5" w:rsidRPr="000344A0" w:rsidRDefault="00F80BC5" w:rsidP="000344A0">
      <w:pPr>
        <w:pStyle w:val="Body"/>
        <w:widowControl w:val="0"/>
      </w:pPr>
    </w:p>
    <w:sectPr w:rsidR="00F80BC5" w:rsidRPr="000344A0">
      <w:headerReference w:type="default" r:id="rId10"/>
      <w:footerReference w:type="default" r:id="rId11"/>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CF32" w14:textId="77777777" w:rsidR="00B63944" w:rsidRDefault="00B63944">
      <w:r>
        <w:separator/>
      </w:r>
    </w:p>
  </w:endnote>
  <w:endnote w:type="continuationSeparator" w:id="0">
    <w:p w14:paraId="0DBD641E" w14:textId="77777777" w:rsidR="00B63944" w:rsidRDefault="00B6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BFE" w14:textId="77777777" w:rsidR="00B63944" w:rsidRDefault="00B639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CCA5" w14:textId="77777777" w:rsidR="00B63944" w:rsidRDefault="00B63944">
      <w:r>
        <w:separator/>
      </w:r>
    </w:p>
  </w:footnote>
  <w:footnote w:type="continuationSeparator" w:id="0">
    <w:p w14:paraId="459C805A" w14:textId="77777777" w:rsidR="00B63944" w:rsidRDefault="00B6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6843" w14:textId="77777777" w:rsidR="00B63944" w:rsidRDefault="00B639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C5"/>
    <w:rsid w:val="000344A0"/>
    <w:rsid w:val="000A0AB5"/>
    <w:rsid w:val="000E0D35"/>
    <w:rsid w:val="000F3388"/>
    <w:rsid w:val="000F7474"/>
    <w:rsid w:val="007C420A"/>
    <w:rsid w:val="00AB5602"/>
    <w:rsid w:val="00B63944"/>
    <w:rsid w:val="00CB525C"/>
    <w:rsid w:val="00D024C0"/>
    <w:rsid w:val="00F8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65C8"/>
  <w15:docId w15:val="{BB3572CE-4EF3-4B3D-A52E-F603394F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0A0AB5"/>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outlineLvl w:val="1"/>
    </w:pPr>
    <w:rPr>
      <w:rFonts w:eastAsia="Times New Roman"/>
      <w:b/>
      <w:bCs/>
      <w:color w:val="B01F8E"/>
      <w:spacing w:val="8"/>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pacing w:val="-10"/>
      <w:kern w:val="28"/>
      <w:sz w:val="56"/>
      <w:szCs w:val="56"/>
      <w:u w:color="000000"/>
      <w:lang w:val="en-US"/>
    </w:rPr>
  </w:style>
  <w:style w:type="paragraph" w:customStyle="1" w:styleId="Body">
    <w:name w:val="Body"/>
    <w:rPr>
      <w:rFonts w:ascii="Calibri" w:eastAsia="Calibri" w:hAnsi="Calibri" w:cs="Calibri"/>
      <w:color w:val="000000"/>
      <w:sz w:val="24"/>
      <w:szCs w:val="24"/>
      <w:u w:color="000000"/>
      <w:lang w:val="en-US"/>
    </w:rPr>
  </w:style>
  <w:style w:type="character" w:customStyle="1" w:styleId="Heading2Char">
    <w:name w:val="Heading 2 Char"/>
    <w:basedOn w:val="DefaultParagraphFont"/>
    <w:link w:val="Heading2"/>
    <w:uiPriority w:val="9"/>
    <w:rsid w:val="000A0AB5"/>
    <w:rPr>
      <w:rFonts w:eastAsia="Times New Roman"/>
      <w:b/>
      <w:bCs/>
      <w:color w:val="B01F8E"/>
      <w:spacing w:val="8"/>
      <w:sz w:val="36"/>
      <w:szCs w:val="36"/>
      <w:bdr w:val="none" w:sz="0" w:space="0" w:color="auto"/>
    </w:rPr>
  </w:style>
  <w:style w:type="paragraph" w:styleId="NormalWeb">
    <w:name w:val="Normal (Web)"/>
    <w:basedOn w:val="Normal"/>
    <w:uiPriority w:val="99"/>
    <w:semiHidden/>
    <w:unhideWhenUsed/>
    <w:rsid w:val="000A0AB5"/>
    <w:pPr>
      <w:pBdr>
        <w:top w:val="none" w:sz="0" w:space="0" w:color="auto"/>
        <w:left w:val="none" w:sz="0" w:space="0" w:color="auto"/>
        <w:bottom w:val="none" w:sz="0" w:space="0" w:color="auto"/>
        <w:right w:val="none" w:sz="0" w:space="0" w:color="auto"/>
        <w:between w:val="none" w:sz="0" w:space="0" w:color="auto"/>
        <w:bar w:val="none" w:sz="0" w:color="auto"/>
      </w:pBdr>
      <w:spacing w:after="300" w:line="375" w:lineRule="atLeast"/>
    </w:pPr>
    <w:rPr>
      <w:rFonts w:eastAsia="Times New Roman"/>
      <w:sz w:val="23"/>
      <w:szCs w:val="23"/>
      <w:bdr w:val="none" w:sz="0" w:space="0" w:color="auto"/>
      <w:lang w:val="en-GB" w:eastAsia="en-GB"/>
    </w:rPr>
  </w:style>
  <w:style w:type="character" w:styleId="Strong">
    <w:name w:val="Strong"/>
    <w:basedOn w:val="DefaultParagraphFont"/>
    <w:uiPriority w:val="22"/>
    <w:qFormat/>
    <w:rsid w:val="000A0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9036">
      <w:bodyDiv w:val="1"/>
      <w:marLeft w:val="0"/>
      <w:marRight w:val="0"/>
      <w:marTop w:val="0"/>
      <w:marBottom w:val="0"/>
      <w:divBdr>
        <w:top w:val="none" w:sz="0" w:space="0" w:color="auto"/>
        <w:left w:val="none" w:sz="0" w:space="0" w:color="auto"/>
        <w:bottom w:val="none" w:sz="0" w:space="0" w:color="auto"/>
        <w:right w:val="none" w:sz="0" w:space="0" w:color="auto"/>
      </w:divBdr>
      <w:divsChild>
        <w:div w:id="596015307">
          <w:marLeft w:val="0"/>
          <w:marRight w:val="0"/>
          <w:marTop w:val="0"/>
          <w:marBottom w:val="0"/>
          <w:divBdr>
            <w:top w:val="none" w:sz="0" w:space="0" w:color="auto"/>
            <w:left w:val="none" w:sz="0" w:space="0" w:color="auto"/>
            <w:bottom w:val="none" w:sz="0" w:space="0" w:color="auto"/>
            <w:right w:val="none" w:sz="0" w:space="0" w:color="auto"/>
          </w:divBdr>
          <w:divsChild>
            <w:div w:id="2040932472">
              <w:marLeft w:val="0"/>
              <w:marRight w:val="0"/>
              <w:marTop w:val="0"/>
              <w:marBottom w:val="0"/>
              <w:divBdr>
                <w:top w:val="none" w:sz="0" w:space="0" w:color="auto"/>
                <w:left w:val="none" w:sz="0" w:space="0" w:color="auto"/>
                <w:bottom w:val="none" w:sz="0" w:space="0" w:color="auto"/>
                <w:right w:val="none" w:sz="0" w:space="0" w:color="auto"/>
              </w:divBdr>
              <w:divsChild>
                <w:div w:id="12338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585">
      <w:bodyDiv w:val="1"/>
      <w:marLeft w:val="0"/>
      <w:marRight w:val="0"/>
      <w:marTop w:val="0"/>
      <w:marBottom w:val="0"/>
      <w:divBdr>
        <w:top w:val="none" w:sz="0" w:space="0" w:color="auto"/>
        <w:left w:val="none" w:sz="0" w:space="0" w:color="auto"/>
        <w:bottom w:val="none" w:sz="0" w:space="0" w:color="auto"/>
        <w:right w:val="none" w:sz="0" w:space="0" w:color="auto"/>
      </w:divBdr>
      <w:divsChild>
        <w:div w:id="246501100">
          <w:marLeft w:val="0"/>
          <w:marRight w:val="0"/>
          <w:marTop w:val="0"/>
          <w:marBottom w:val="0"/>
          <w:divBdr>
            <w:top w:val="none" w:sz="0" w:space="0" w:color="auto"/>
            <w:left w:val="none" w:sz="0" w:space="0" w:color="auto"/>
            <w:bottom w:val="none" w:sz="0" w:space="0" w:color="auto"/>
            <w:right w:val="none" w:sz="0" w:space="0" w:color="auto"/>
          </w:divBdr>
          <w:divsChild>
            <w:div w:id="1902249117">
              <w:marLeft w:val="0"/>
              <w:marRight w:val="0"/>
              <w:marTop w:val="0"/>
              <w:marBottom w:val="0"/>
              <w:divBdr>
                <w:top w:val="none" w:sz="0" w:space="0" w:color="auto"/>
                <w:left w:val="none" w:sz="0" w:space="0" w:color="auto"/>
                <w:bottom w:val="none" w:sz="0" w:space="0" w:color="auto"/>
                <w:right w:val="none" w:sz="0" w:space="0" w:color="auto"/>
              </w:divBdr>
              <w:divsChild>
                <w:div w:id="8403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esignmuseum.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20F77-66A8-44C9-9AEA-DA3F3C3C7662}">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81c69a29-c92c-46c2-9bbd-f1d113e42c53"/>
    <ds:schemaRef ds:uri="a9885185-9422-46fb-b5d8-262d690fc5af"/>
  </ds:schemaRefs>
</ds:datastoreItem>
</file>

<file path=customXml/itemProps2.xml><?xml version="1.0" encoding="utf-8"?>
<ds:datastoreItem xmlns:ds="http://schemas.openxmlformats.org/officeDocument/2006/customXml" ds:itemID="{CF8B1C01-FB97-4BDB-97FE-C4B1C24ECF65}">
  <ds:schemaRefs>
    <ds:schemaRef ds:uri="http://schemas.microsoft.com/sharepoint/v3/contenttype/forms"/>
  </ds:schemaRefs>
</ds:datastoreItem>
</file>

<file path=customXml/itemProps3.xml><?xml version="1.0" encoding="utf-8"?>
<ds:datastoreItem xmlns:ds="http://schemas.openxmlformats.org/officeDocument/2006/customXml" ds:itemID="{4BA1BCF3-205B-43B8-854C-3DAA29594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Joseph's Catholic School</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 Mcguinness</cp:lastModifiedBy>
  <cp:revision>9</cp:revision>
  <dcterms:created xsi:type="dcterms:W3CDTF">2019-11-26T09:53:00Z</dcterms:created>
  <dcterms:modified xsi:type="dcterms:W3CDTF">2023-04-28T11:01:00Z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19686200</vt:r8>
  </property>
</Properties>
</file>